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9C69" w14:textId="77777777" w:rsidR="007D77D7" w:rsidRDefault="002E15FA" w:rsidP="00DD50DF">
      <w:pPr>
        <w:pStyle w:val="Ttulo1"/>
        <w:rPr>
          <w:lang w:val="es-ES_tradnl"/>
        </w:rPr>
      </w:pPr>
      <w:r>
        <w:rPr>
          <w:lang w:val="es-ES_tradnl"/>
        </w:rPr>
        <w:t>CAMPAÑA</w:t>
      </w:r>
      <w:r w:rsidR="00B157C7">
        <w:rPr>
          <w:lang w:val="es-ES_tradnl"/>
        </w:rPr>
        <w:t xml:space="preserve"> DE INMUNIZACIÓN VRS CAMPAÑA 2023-2024</w:t>
      </w:r>
    </w:p>
    <w:p w14:paraId="339C43C8" w14:textId="77777777" w:rsidR="00DD50DF" w:rsidRPr="00DD50DF" w:rsidRDefault="00DD50DF" w:rsidP="00DD50DF">
      <w:pPr>
        <w:rPr>
          <w:lang w:val="es-ES_tradnl"/>
        </w:rPr>
      </w:pPr>
    </w:p>
    <w:p w14:paraId="0CE12F1E" w14:textId="77777777" w:rsidR="00B157C7" w:rsidRDefault="00B157C7" w:rsidP="00B157C7">
      <w:pPr>
        <w:pStyle w:val="Textosinformato"/>
      </w:pPr>
      <w:r>
        <w:t>El Departamento de Salud ha aprobado</w:t>
      </w:r>
      <w:r w:rsidR="00DD095F">
        <w:t xml:space="preserve"> el 12 de septiembre del 2023</w:t>
      </w:r>
      <w:r>
        <w:t xml:space="preserve">, tras la reunión de la Comisión Asesora Técnica de </w:t>
      </w:r>
      <w:r w:rsidR="002E15FA">
        <w:t>Vacunaciones, la</w:t>
      </w:r>
      <w:r>
        <w:t xml:space="preserve"> inmunización con el anticuerpo monoclonal </w:t>
      </w:r>
      <w:proofErr w:type="spellStart"/>
      <w:r>
        <w:t>nirsevimab</w:t>
      </w:r>
      <w:proofErr w:type="spellEnd"/>
      <w:r>
        <w:t xml:space="preserve"> frente a Virus Sincitial Respiratorio para la temporada 2023-2024 a:</w:t>
      </w:r>
    </w:p>
    <w:p w14:paraId="35D9551C" w14:textId="77777777" w:rsidR="00B157C7" w:rsidRDefault="00B157C7" w:rsidP="00B157C7">
      <w:pPr>
        <w:pStyle w:val="Textosinformato"/>
      </w:pPr>
    </w:p>
    <w:p w14:paraId="6DA2EA63" w14:textId="77777777" w:rsidR="00B157C7" w:rsidRDefault="00B157C7" w:rsidP="00B157C7">
      <w:pPr>
        <w:pStyle w:val="Textosinformato"/>
      </w:pPr>
      <w:r>
        <w:t xml:space="preserve">• Población infantil con alto riesgo de enfermedad grave por VSR, en sustitución del anticuerpo monoclonal </w:t>
      </w:r>
      <w:proofErr w:type="spellStart"/>
      <w:r>
        <w:t>palivizumab</w:t>
      </w:r>
      <w:proofErr w:type="spellEnd"/>
      <w:r>
        <w:t>, como ya se venía haciendo.</w:t>
      </w:r>
    </w:p>
    <w:p w14:paraId="1E06C24A" w14:textId="77777777" w:rsidR="00B157C7" w:rsidRDefault="00B157C7" w:rsidP="00B157C7">
      <w:pPr>
        <w:pStyle w:val="Textosinformato"/>
      </w:pPr>
    </w:p>
    <w:p w14:paraId="04586123" w14:textId="77777777" w:rsidR="00B157C7" w:rsidRDefault="00B157C7" w:rsidP="00B157C7">
      <w:pPr>
        <w:pStyle w:val="Textosinformato"/>
      </w:pPr>
      <w:r>
        <w:t xml:space="preserve">• Inmunización universal a todos los menores que nazcan entre el </w:t>
      </w:r>
      <w:r>
        <w:rPr>
          <w:b/>
          <w:bCs/>
        </w:rPr>
        <w:t>1 de octubre y el 31 de diciembre de 2023</w:t>
      </w:r>
      <w:r>
        <w:t>, dejando abierta la posibilidad de continuar con la misma para los menores que nazcan entre enero y marzo de 2024, en función de la situación epidemiológica, de la circulación del VRS en nuestra comunidad y de disponibilidad presupuestaria suficiente y sostenible en el tiempo. Esta inmunización se ofertará en el ámbito hospitalario, a las 24-48 horas del nacimiento.</w:t>
      </w:r>
    </w:p>
    <w:p w14:paraId="4D931D6F" w14:textId="77777777" w:rsidR="002E15FA" w:rsidRDefault="002E15FA" w:rsidP="00B157C7">
      <w:pPr>
        <w:pStyle w:val="Textosinformato"/>
      </w:pPr>
    </w:p>
    <w:p w14:paraId="1FDCFB20" w14:textId="77777777" w:rsidR="00DD50DF" w:rsidRDefault="002E15FA" w:rsidP="00B157C7">
      <w:pPr>
        <w:pStyle w:val="Textosinformato"/>
      </w:pPr>
      <w:r>
        <w:t xml:space="preserve">Las dosis </w:t>
      </w:r>
      <w:r w:rsidR="00DD50DF">
        <w:t xml:space="preserve">de este fármaco </w:t>
      </w:r>
      <w:r>
        <w:t xml:space="preserve">de 50 y </w:t>
      </w:r>
      <w:r w:rsidR="00DD50DF">
        <w:t xml:space="preserve">100 </w:t>
      </w:r>
      <w:proofErr w:type="spellStart"/>
      <w:r w:rsidR="00DD50DF">
        <w:t>mgs</w:t>
      </w:r>
      <w:proofErr w:type="spellEnd"/>
      <w:r>
        <w:t xml:space="preserve"> serán </w:t>
      </w:r>
      <w:r w:rsidR="00DD50DF">
        <w:t>compradas y distribuidas desde</w:t>
      </w:r>
      <w:r>
        <w:t xml:space="preserve"> el ISPLN. </w:t>
      </w:r>
    </w:p>
    <w:p w14:paraId="7B9ABF42" w14:textId="77777777" w:rsidR="00DD50DF" w:rsidRDefault="00DD50DF" w:rsidP="00B157C7">
      <w:pPr>
        <w:pStyle w:val="Textosinformato"/>
      </w:pPr>
    </w:p>
    <w:p w14:paraId="7AA82F80" w14:textId="77777777" w:rsidR="00DD50DF" w:rsidRDefault="00DD50DF" w:rsidP="00B157C7">
      <w:pPr>
        <w:pStyle w:val="Textosinformato"/>
      </w:pPr>
      <w:r>
        <w:t xml:space="preserve">La Farmacia del Hospital Universitario de Navarra </w:t>
      </w:r>
      <w:proofErr w:type="spellStart"/>
      <w:r>
        <w:t>recepcionará</w:t>
      </w:r>
      <w:proofErr w:type="spellEnd"/>
      <w:r>
        <w:t xml:space="preserve"> y distribuirá las dosis conforme a pedido de las jefas de unidad de las ubicaciones de 5ª Maternal; Partos y Unidad de Neonatología.</w:t>
      </w:r>
    </w:p>
    <w:p w14:paraId="21332A54" w14:textId="77777777" w:rsidR="00DD50DF" w:rsidRDefault="00DD50DF" w:rsidP="00B157C7">
      <w:pPr>
        <w:pStyle w:val="Textosinformato"/>
      </w:pPr>
    </w:p>
    <w:p w14:paraId="42EB907D" w14:textId="77777777" w:rsidR="00E43BF6" w:rsidRDefault="00DD50DF" w:rsidP="00E43BF6">
      <w:pPr>
        <w:pStyle w:val="Textosinformato"/>
      </w:pPr>
      <w:r>
        <w:t>Las dosis se guardarán refrigeradas en las neveras correspondientes a las ubicaciones indicadas.</w:t>
      </w:r>
    </w:p>
    <w:p w14:paraId="6212D92F" w14:textId="77777777" w:rsidR="00E43BF6" w:rsidRDefault="00E43BF6" w:rsidP="00E43BF6">
      <w:pPr>
        <w:pStyle w:val="Textosinformato"/>
      </w:pPr>
    </w:p>
    <w:p w14:paraId="0822CEBF" w14:textId="77777777" w:rsidR="00E43BF6" w:rsidRDefault="00E43BF6" w:rsidP="00E43BF6">
      <w:pPr>
        <w:pStyle w:val="Textosinformato"/>
      </w:pPr>
    </w:p>
    <w:p w14:paraId="3A6233BA" w14:textId="77777777" w:rsidR="00E43BF6" w:rsidRPr="00E43BF6" w:rsidRDefault="00E43BF6" w:rsidP="00E43BF6">
      <w:pPr>
        <w:pStyle w:val="Textosinformato"/>
        <w:rPr>
          <w:rFonts w:eastAsia="Calibri" w:cs="Times New Roman"/>
          <w:b/>
          <w:bCs/>
          <w:color w:val="8EAADB" w:themeColor="accent5" w:themeTint="99"/>
        </w:rPr>
      </w:pPr>
      <w:r w:rsidRPr="00E43BF6">
        <w:rPr>
          <w:rFonts w:eastAsia="Calibri" w:cs="Times New Roman"/>
          <w:b/>
          <w:bCs/>
          <w:color w:val="8EAADB" w:themeColor="accent5" w:themeTint="99"/>
        </w:rPr>
        <w:t xml:space="preserve">Modo de administración </w:t>
      </w:r>
    </w:p>
    <w:p w14:paraId="64674534" w14:textId="77777777" w:rsidR="00E43BF6" w:rsidRDefault="00E43BF6" w:rsidP="00E43BF6">
      <w:pPr>
        <w:pStyle w:val="Textosinformato"/>
        <w:rPr>
          <w:rFonts w:eastAsia="Calibri" w:cs="Times New Roman"/>
          <w:b/>
          <w:bCs/>
        </w:rPr>
      </w:pPr>
    </w:p>
    <w:p w14:paraId="68D6C58A" w14:textId="77777777" w:rsidR="00E43BF6" w:rsidRDefault="00E43BF6" w:rsidP="00E43BF6">
      <w:pPr>
        <w:pStyle w:val="Textosinformato"/>
        <w:rPr>
          <w:rFonts w:eastAsia="Calibri" w:cs="Times New Roman"/>
        </w:rPr>
      </w:pPr>
      <w:r w:rsidRPr="00E43BF6">
        <w:rPr>
          <w:rFonts w:eastAsia="Calibri" w:cs="Times New Roman"/>
        </w:rPr>
        <w:t xml:space="preserve">Se administrará de forma intramuscular, mediante jeringa precargada con 2 dosificaciones: </w:t>
      </w:r>
    </w:p>
    <w:p w14:paraId="12651D52" w14:textId="77777777" w:rsidR="00E43BF6" w:rsidRDefault="00E43BF6" w:rsidP="00E43BF6">
      <w:pPr>
        <w:pStyle w:val="Textosinformato"/>
        <w:rPr>
          <w:rFonts w:eastAsia="Calibri" w:cs="Times New Roman"/>
        </w:rPr>
      </w:pPr>
    </w:p>
    <w:p w14:paraId="4C2292A1" w14:textId="77777777" w:rsidR="00E43BF6" w:rsidRDefault="00E43BF6" w:rsidP="00E43BF6">
      <w:pPr>
        <w:pStyle w:val="Textosinformato"/>
        <w:rPr>
          <w:rFonts w:eastAsia="Calibri" w:cs="Times New Roman"/>
        </w:rPr>
      </w:pPr>
      <w:r>
        <w:rPr>
          <w:rFonts w:eastAsia="Calibri" w:cs="Times New Roman"/>
        </w:rPr>
        <w:tab/>
      </w:r>
      <w:r w:rsidRPr="00E43BF6">
        <w:rPr>
          <w:rFonts w:eastAsia="Calibri" w:cs="Times New Roman"/>
        </w:rPr>
        <w:t xml:space="preserve">50 mg (azul) para niños menores de 5 kg de peso, y </w:t>
      </w:r>
    </w:p>
    <w:p w14:paraId="655FFB09" w14:textId="77777777" w:rsidR="00E43BF6" w:rsidRPr="00E43BF6" w:rsidRDefault="00E43BF6" w:rsidP="00E43BF6">
      <w:pPr>
        <w:pStyle w:val="Textosinformato"/>
      </w:pPr>
      <w:r>
        <w:rPr>
          <w:rFonts w:eastAsia="Calibri" w:cs="Times New Roman"/>
        </w:rPr>
        <w:tab/>
      </w:r>
      <w:r w:rsidRPr="00E43BF6">
        <w:rPr>
          <w:rFonts w:eastAsia="Calibri" w:cs="Times New Roman"/>
        </w:rPr>
        <w:t xml:space="preserve">100 mg (morada) para niños &gt; 5 kg de peso. </w:t>
      </w:r>
    </w:p>
    <w:p w14:paraId="2E2E6C3A" w14:textId="77777777" w:rsidR="00E43BF6" w:rsidRDefault="00E43BF6" w:rsidP="00B157C7">
      <w:pPr>
        <w:pStyle w:val="Textosinformato"/>
      </w:pPr>
    </w:p>
    <w:p w14:paraId="45FAAC62" w14:textId="77777777" w:rsidR="00E43BF6" w:rsidRPr="00E43BF6" w:rsidRDefault="00E43BF6" w:rsidP="00B157C7">
      <w:pPr>
        <w:pStyle w:val="Textosinformato"/>
        <w:rPr>
          <w:i/>
        </w:rPr>
      </w:pPr>
      <w:r w:rsidRPr="00E43BF6">
        <w:rPr>
          <w:i/>
        </w:rPr>
        <w:t>Para inmunizar con 100 mg NO se deben administrar dos jeringas de 50 mg</w:t>
      </w:r>
    </w:p>
    <w:p w14:paraId="3CB41819" w14:textId="77777777" w:rsidR="00E43BF6" w:rsidRDefault="00E43BF6" w:rsidP="00B157C7">
      <w:pPr>
        <w:pStyle w:val="Textosinformato"/>
      </w:pPr>
    </w:p>
    <w:p w14:paraId="640D5185" w14:textId="77777777" w:rsidR="002E15FA" w:rsidRPr="00DD50DF" w:rsidRDefault="002E15FA" w:rsidP="00B157C7">
      <w:pPr>
        <w:pStyle w:val="Textosinformato"/>
        <w:rPr>
          <w:rStyle w:val="Referenciaintensa"/>
        </w:rPr>
      </w:pPr>
      <w:r w:rsidRPr="00DD50DF">
        <w:rPr>
          <w:rStyle w:val="Referenciaintensa"/>
        </w:rPr>
        <w:t>Circuitos intrahospitalarios</w:t>
      </w:r>
    </w:p>
    <w:p w14:paraId="6DFD3E5E" w14:textId="77777777" w:rsidR="002E15FA" w:rsidRDefault="002E15FA" w:rsidP="002E15F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2E15FA">
        <w:rPr>
          <w:b/>
        </w:rPr>
        <w:t>1.-</w:t>
      </w:r>
      <w:r w:rsidRPr="002E15FA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Inmunización de niños de riesgo</w:t>
      </w:r>
      <w:r w:rsidR="00996337">
        <w:rPr>
          <w:rFonts w:ascii="Calibri" w:hAnsi="Calibri" w:cs="Calibri"/>
          <w:color w:val="000000"/>
        </w:rPr>
        <w:t xml:space="preserve">: 122 </w:t>
      </w:r>
      <w:r>
        <w:rPr>
          <w:rFonts w:ascii="Calibri" w:hAnsi="Calibri" w:cs="Calibri"/>
          <w:color w:val="000000"/>
        </w:rPr>
        <w:t>pacientes</w:t>
      </w:r>
    </w:p>
    <w:p w14:paraId="274EA14C" w14:textId="77777777" w:rsidR="002E15FA" w:rsidRDefault="002E15FA" w:rsidP="002E15F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 llevará a cabo los días 2</w:t>
      </w:r>
      <w:r w:rsidR="00DD50DF">
        <w:rPr>
          <w:rFonts w:ascii="Calibri" w:hAnsi="Calibri" w:cs="Calibri"/>
          <w:color w:val="000000"/>
        </w:rPr>
        <w:t xml:space="preserve"> </w:t>
      </w:r>
      <w:r w:rsidR="00996337">
        <w:rPr>
          <w:rFonts w:ascii="Calibri" w:hAnsi="Calibri" w:cs="Calibri"/>
          <w:color w:val="000000"/>
        </w:rPr>
        <w:t>,</w:t>
      </w:r>
      <w:proofErr w:type="gramStart"/>
      <w:r w:rsidR="00996337">
        <w:rPr>
          <w:rFonts w:ascii="Calibri" w:hAnsi="Calibri" w:cs="Calibri"/>
          <w:color w:val="000000"/>
        </w:rPr>
        <w:t xml:space="preserve">3 </w:t>
      </w:r>
      <w:r>
        <w:rPr>
          <w:rFonts w:ascii="Calibri" w:hAnsi="Calibri" w:cs="Calibri"/>
          <w:color w:val="000000"/>
        </w:rPr>
        <w:t xml:space="preserve"> 4</w:t>
      </w:r>
      <w:proofErr w:type="gramEnd"/>
      <w:r>
        <w:rPr>
          <w:rFonts w:ascii="Calibri" w:hAnsi="Calibri" w:cs="Calibri"/>
          <w:color w:val="000000"/>
        </w:rPr>
        <w:t xml:space="preserve"> </w:t>
      </w:r>
      <w:r w:rsidR="00996337">
        <w:rPr>
          <w:rFonts w:ascii="Calibri" w:hAnsi="Calibri" w:cs="Calibri"/>
          <w:color w:val="000000"/>
        </w:rPr>
        <w:t xml:space="preserve">y 5 </w:t>
      </w:r>
      <w:r>
        <w:rPr>
          <w:rFonts w:ascii="Calibri" w:hAnsi="Calibri" w:cs="Calibri"/>
          <w:color w:val="000000"/>
        </w:rPr>
        <w:t xml:space="preserve">de octubre en el </w:t>
      </w:r>
      <w:r w:rsidR="00DD50DF">
        <w:rPr>
          <w:rFonts w:ascii="Calibri" w:hAnsi="Calibri" w:cs="Calibri"/>
          <w:color w:val="000000"/>
        </w:rPr>
        <w:t xml:space="preserve"> Box A del h</w:t>
      </w:r>
      <w:r>
        <w:rPr>
          <w:rFonts w:ascii="Calibri" w:hAnsi="Calibri" w:cs="Calibri"/>
          <w:color w:val="000000"/>
        </w:rPr>
        <w:t>ospital de día de la 5ª Maternal</w:t>
      </w:r>
      <w:r w:rsidR="00DD50DF">
        <w:rPr>
          <w:rFonts w:ascii="Calibri" w:hAnsi="Calibri" w:cs="Calibri"/>
          <w:color w:val="000000"/>
        </w:rPr>
        <w:t xml:space="preserve"> del HUN.</w:t>
      </w:r>
      <w:r>
        <w:rPr>
          <w:rFonts w:ascii="Calibri" w:hAnsi="Calibri" w:cs="Calibri"/>
          <w:color w:val="000000"/>
        </w:rPr>
        <w:t>.</w:t>
      </w:r>
    </w:p>
    <w:p w14:paraId="0E8EB1E9" w14:textId="77777777" w:rsidR="002E15FA" w:rsidRDefault="002E15FA" w:rsidP="002E15F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 inmunización y registro en </w:t>
      </w:r>
      <w:proofErr w:type="spellStart"/>
      <w:r>
        <w:rPr>
          <w:rFonts w:ascii="Calibri" w:hAnsi="Calibri" w:cs="Calibri"/>
          <w:color w:val="000000"/>
        </w:rPr>
        <w:t>Inmunis</w:t>
      </w:r>
      <w:proofErr w:type="spellEnd"/>
      <w:r>
        <w:rPr>
          <w:rFonts w:ascii="Calibri" w:hAnsi="Calibri" w:cs="Calibri"/>
          <w:color w:val="000000"/>
        </w:rPr>
        <w:t xml:space="preserve"> se realizará por dos profesionales de dicha unidad.</w:t>
      </w:r>
    </w:p>
    <w:p w14:paraId="134BEE32" w14:textId="77777777" w:rsidR="002E15FA" w:rsidRDefault="002E15FA" w:rsidP="002E15FA">
      <w:pPr>
        <w:tabs>
          <w:tab w:val="left" w:pos="5772"/>
        </w:tabs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 distribuirán en esta ubicación las dosis de 100 </w:t>
      </w:r>
      <w:proofErr w:type="spellStart"/>
      <w:r>
        <w:rPr>
          <w:rFonts w:ascii="Calibri" w:hAnsi="Calibri" w:cs="Calibri"/>
          <w:color w:val="000000"/>
        </w:rPr>
        <w:t>mgs</w:t>
      </w:r>
      <w:proofErr w:type="spellEnd"/>
      <w:r>
        <w:rPr>
          <w:rFonts w:ascii="Calibri" w:hAnsi="Calibri" w:cs="Calibri"/>
          <w:color w:val="000000"/>
        </w:rPr>
        <w:t>.</w:t>
      </w:r>
    </w:p>
    <w:p w14:paraId="62FDB0A1" w14:textId="77777777" w:rsidR="002E15FA" w:rsidRDefault="002E15FA" w:rsidP="002E15F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2.-Inmunización de recién nacidos</w:t>
      </w:r>
      <w:r>
        <w:rPr>
          <w:rFonts w:ascii="Calibri" w:hAnsi="Calibri" w:cs="Calibri"/>
          <w:color w:val="000000"/>
        </w:rPr>
        <w:t>:</w:t>
      </w:r>
    </w:p>
    <w:p w14:paraId="396E00BB" w14:textId="77777777" w:rsidR="002E15FA" w:rsidRDefault="002E15FA" w:rsidP="002E15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Los neonatos &gt;30 semanas y/o 1,6 kg, se llevará a cabo en el momento del parto, en las dos primeras horas de vida tras el consentimiento verbal de los padres, por las matronas que lo atienden.</w:t>
      </w:r>
    </w:p>
    <w:p w14:paraId="4C1EE385" w14:textId="77777777" w:rsidR="002E15FA" w:rsidRDefault="002E15FA" w:rsidP="002E15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Los neonatos &lt; 30 semanas y/o &lt;1,6 kg se llevará a cabo en la unidad de neonatos una vez alcanzada la edad / peso necesarias.</w:t>
      </w:r>
    </w:p>
    <w:p w14:paraId="580B3A22" w14:textId="77777777" w:rsidR="002E15FA" w:rsidRDefault="002E15FA" w:rsidP="002E15F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 inmunización y registro en </w:t>
      </w:r>
      <w:proofErr w:type="spellStart"/>
      <w:r>
        <w:rPr>
          <w:rFonts w:ascii="Calibri" w:hAnsi="Calibri" w:cs="Calibri"/>
          <w:color w:val="000000"/>
        </w:rPr>
        <w:t>Inmunis</w:t>
      </w:r>
      <w:proofErr w:type="spellEnd"/>
      <w:r>
        <w:rPr>
          <w:rFonts w:ascii="Calibri" w:hAnsi="Calibri" w:cs="Calibri"/>
          <w:color w:val="000000"/>
        </w:rPr>
        <w:t xml:space="preserve"> se realizará por las matronas de partos y enfermeras de la unidad de neonatología.</w:t>
      </w:r>
      <w:r w:rsidR="00DD50DF">
        <w:rPr>
          <w:rFonts w:ascii="Calibri" w:hAnsi="Calibri" w:cs="Calibri"/>
          <w:color w:val="000000"/>
        </w:rPr>
        <w:t xml:space="preserve"> </w:t>
      </w:r>
    </w:p>
    <w:p w14:paraId="41C21BDE" w14:textId="77777777" w:rsidR="002E15FA" w:rsidRDefault="002E15FA" w:rsidP="002E15F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 distribuirán en este ámbito las dosis de 50 </w:t>
      </w:r>
      <w:proofErr w:type="spellStart"/>
      <w:r>
        <w:rPr>
          <w:rFonts w:ascii="Calibri" w:hAnsi="Calibri" w:cs="Calibri"/>
          <w:color w:val="000000"/>
        </w:rPr>
        <w:t>mgs</w:t>
      </w:r>
      <w:proofErr w:type="spellEnd"/>
      <w:r>
        <w:rPr>
          <w:rFonts w:ascii="Calibri" w:hAnsi="Calibri" w:cs="Calibri"/>
          <w:color w:val="000000"/>
        </w:rPr>
        <w:t>.</w:t>
      </w:r>
    </w:p>
    <w:p w14:paraId="4EB3F49B" w14:textId="77777777" w:rsidR="002E15FA" w:rsidRDefault="002E15FA" w:rsidP="002E15F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Los neonatos que no se inmunicen (por decisión de sus progenitores) en las primeras dos horas de vida y deseen la inmunización antes del alta hospitalaria, se realizará en el Hospital de día de la 5ª Maternal. </w:t>
      </w:r>
    </w:p>
    <w:p w14:paraId="68BBB9CB" w14:textId="77777777" w:rsidR="00E43BF6" w:rsidRDefault="002E15FA" w:rsidP="00E43BF6">
      <w:pPr>
        <w:spacing w:before="100" w:beforeAutospacing="1" w:after="100" w:afterAutospacing="1"/>
        <w:rPr>
          <w:rFonts w:ascii="Calibri" w:hAnsi="Calibri" w:cs="Calibri"/>
          <w:i/>
          <w:color w:val="000000"/>
        </w:rPr>
      </w:pPr>
      <w:r w:rsidRPr="00DD50DF">
        <w:rPr>
          <w:rFonts w:ascii="Calibri" w:hAnsi="Calibri" w:cs="Calibri"/>
          <w:i/>
          <w:color w:val="000000"/>
        </w:rPr>
        <w:t xml:space="preserve">Se registrará tanto la inmunización como el rechazo a la </w:t>
      </w:r>
      <w:r w:rsidR="00EF01F0" w:rsidRPr="00DD50DF">
        <w:rPr>
          <w:rFonts w:ascii="Calibri" w:hAnsi="Calibri" w:cs="Calibri"/>
          <w:i/>
          <w:color w:val="000000"/>
        </w:rPr>
        <w:t>m</w:t>
      </w:r>
      <w:r w:rsidRPr="00DD50DF">
        <w:rPr>
          <w:rFonts w:ascii="Calibri" w:hAnsi="Calibri" w:cs="Calibri"/>
          <w:i/>
          <w:color w:val="000000"/>
        </w:rPr>
        <w:t>isma antes del alta.</w:t>
      </w:r>
    </w:p>
    <w:p w14:paraId="04D398A3" w14:textId="77777777" w:rsidR="00E43BF6" w:rsidRPr="00E43BF6" w:rsidRDefault="00E43BF6" w:rsidP="00E43BF6">
      <w:pPr>
        <w:spacing w:before="100" w:beforeAutospacing="1" w:after="100" w:afterAutospacing="1"/>
        <w:rPr>
          <w:rStyle w:val="Referenciaintensa"/>
        </w:rPr>
      </w:pPr>
      <w:r w:rsidRPr="00E43BF6">
        <w:rPr>
          <w:rStyle w:val="Referenciaintensa"/>
        </w:rPr>
        <w:t>Registro de la dosis y consentimiento informado</w:t>
      </w:r>
    </w:p>
    <w:p w14:paraId="44934A4E" w14:textId="77777777" w:rsidR="00E43BF6" w:rsidRDefault="00E43BF6" w:rsidP="00E43BF6">
      <w:pPr>
        <w:spacing w:before="100" w:beforeAutospacing="1" w:after="100" w:afterAutospacing="1"/>
        <w:rPr>
          <w:rFonts w:ascii="Calibri" w:hAnsi="Calibri" w:cs="Calibri"/>
          <w:i/>
          <w:color w:val="000000"/>
        </w:rPr>
      </w:pPr>
      <w:r>
        <w:t xml:space="preserve">La dosis de </w:t>
      </w:r>
      <w:proofErr w:type="spellStart"/>
      <w:r>
        <w:t>nirsevimab</w:t>
      </w:r>
      <w:proofErr w:type="spellEnd"/>
      <w:r>
        <w:t xml:space="preserve"> deberá ser registrada en el momento de la administración a través de la plataforma </w:t>
      </w:r>
      <w:proofErr w:type="spellStart"/>
      <w:r>
        <w:t>Inmunis</w:t>
      </w:r>
      <w:proofErr w:type="spellEnd"/>
      <w:r>
        <w:t xml:space="preserve">, donde se registra el resto de las vacunas administradas conforme al calendario vacunal. </w:t>
      </w:r>
      <w:r w:rsidR="00A70113">
        <w:t>No precisa prescripción en HCI.</w:t>
      </w:r>
    </w:p>
    <w:p w14:paraId="619668CD" w14:textId="77777777" w:rsidR="00E43BF6" w:rsidRDefault="00E43BF6" w:rsidP="00E43BF6">
      <w:pPr>
        <w:spacing w:before="100" w:beforeAutospacing="1" w:after="100" w:afterAutospacing="1"/>
        <w:rPr>
          <w:rFonts w:ascii="Calibri" w:hAnsi="Calibri" w:cs="Calibri"/>
          <w:i/>
          <w:color w:val="000000"/>
        </w:rPr>
      </w:pPr>
      <w:r>
        <w:t xml:space="preserve">Dado que esta IP se incluye en calendario vacunal oficial, requerirá únicamente consentimiento verbal para su administración. </w:t>
      </w:r>
    </w:p>
    <w:p w14:paraId="623F71D6" w14:textId="77777777" w:rsidR="00E43BF6" w:rsidRDefault="00E43BF6" w:rsidP="00E43BF6">
      <w:pPr>
        <w:spacing w:before="100" w:beforeAutospacing="1" w:after="100" w:afterAutospacing="1"/>
      </w:pPr>
      <w:r>
        <w:t xml:space="preserve">En caso de que los padres no deseen la IP, esta negativa también se registrará. </w:t>
      </w:r>
    </w:p>
    <w:p w14:paraId="36FF1820" w14:textId="77777777" w:rsidR="00E43BF6" w:rsidRDefault="00E43BF6" w:rsidP="00E43BF6">
      <w:pPr>
        <w:spacing w:before="100" w:beforeAutospacing="1" w:after="100" w:afterAutospacing="1"/>
      </w:pPr>
      <w:r>
        <w:t xml:space="preserve">El registro se realizará por los profesionales que realizan la </w:t>
      </w:r>
      <w:proofErr w:type="spellStart"/>
      <w:r>
        <w:t>adminsitración</w:t>
      </w:r>
      <w:proofErr w:type="spellEnd"/>
      <w:r>
        <w:t>.</w:t>
      </w:r>
    </w:p>
    <w:p w14:paraId="734D675A" w14:textId="77777777" w:rsidR="00E43BF6" w:rsidRPr="00E43BF6" w:rsidRDefault="00E43BF6" w:rsidP="00E43BF6">
      <w:pPr>
        <w:spacing w:before="100" w:beforeAutospacing="1" w:after="100" w:afterAutospacing="1"/>
        <w:rPr>
          <w:color w:val="FF0000"/>
        </w:rPr>
      </w:pPr>
      <w:r w:rsidRPr="00E43BF6">
        <w:rPr>
          <w:color w:val="FF0000"/>
        </w:rPr>
        <w:t xml:space="preserve">Se distribuirá píldora informativa del acceso y registro en </w:t>
      </w:r>
      <w:proofErr w:type="spellStart"/>
      <w:r w:rsidRPr="00E43BF6">
        <w:rPr>
          <w:color w:val="FF0000"/>
        </w:rPr>
        <w:t>Inmunis</w:t>
      </w:r>
      <w:proofErr w:type="spellEnd"/>
      <w:r w:rsidRPr="00E43BF6">
        <w:rPr>
          <w:color w:val="FF0000"/>
        </w:rPr>
        <w:t>.</w:t>
      </w:r>
    </w:p>
    <w:p w14:paraId="7B82DED4" w14:textId="77777777" w:rsidR="00E43BF6" w:rsidRPr="00E43BF6" w:rsidRDefault="00E43BF6" w:rsidP="00E43BF6">
      <w:pPr>
        <w:spacing w:before="100" w:beforeAutospacing="1" w:after="100" w:afterAutospacing="1"/>
        <w:rPr>
          <w:rStyle w:val="Referenciaintensa"/>
        </w:rPr>
      </w:pPr>
      <w:r w:rsidRPr="00E43BF6">
        <w:rPr>
          <w:rStyle w:val="Referenciaintensa"/>
        </w:rPr>
        <w:t>Eficacia y seguridad</w:t>
      </w:r>
    </w:p>
    <w:p w14:paraId="66AB6406" w14:textId="77777777" w:rsidR="00E43BF6" w:rsidRDefault="00E43BF6" w:rsidP="00E43BF6">
      <w:pPr>
        <w:spacing w:before="100" w:beforeAutospacing="1" w:after="100" w:afterAutospacing="1"/>
        <w:rPr>
          <w:rFonts w:ascii="Calibri" w:hAnsi="Calibri" w:cs="Calibri"/>
          <w:i/>
          <w:color w:val="000000"/>
        </w:rPr>
      </w:pPr>
      <w:r w:rsidRPr="00E43BF6">
        <w:rPr>
          <w:rFonts w:ascii="Calibri" w:eastAsia="Calibri" w:hAnsi="Calibri" w:cs="Times New Roman"/>
        </w:rPr>
        <w:t xml:space="preserve">En los ensayos clínicos, se ha notificado una eficacia 75% en las bronquiolitis VRS que precisan atención médica y del 78% en evitar ingresos asociados a VRS. </w:t>
      </w:r>
    </w:p>
    <w:p w14:paraId="58292181" w14:textId="77777777" w:rsidR="00E43BF6" w:rsidRDefault="00E43BF6" w:rsidP="00E43BF6">
      <w:pPr>
        <w:spacing w:before="100" w:beforeAutospacing="1" w:after="100" w:afterAutospacing="1"/>
        <w:rPr>
          <w:rFonts w:ascii="Calibri" w:hAnsi="Calibri" w:cs="Calibri"/>
          <w:i/>
          <w:color w:val="000000"/>
        </w:rPr>
      </w:pPr>
      <w:r w:rsidRPr="00E43BF6">
        <w:rPr>
          <w:rFonts w:ascii="Calibri" w:eastAsia="Calibri" w:hAnsi="Calibri" w:cs="Times New Roman"/>
        </w:rPr>
        <w:t xml:space="preserve">El perfil de seguridad podría ser similar al de </w:t>
      </w:r>
      <w:proofErr w:type="spellStart"/>
      <w:r w:rsidRPr="00E43BF6">
        <w:rPr>
          <w:rFonts w:ascii="Calibri" w:eastAsia="Calibri" w:hAnsi="Calibri" w:cs="Times New Roman"/>
        </w:rPr>
        <w:t>palivizumab</w:t>
      </w:r>
      <w:proofErr w:type="spellEnd"/>
      <w:r w:rsidRPr="00E43BF6">
        <w:rPr>
          <w:rFonts w:ascii="Calibri" w:eastAsia="Calibri" w:hAnsi="Calibri" w:cs="Times New Roman"/>
        </w:rPr>
        <w:t xml:space="preserve">, siendo un fármaco bien tolerado. Se ha descrito la erupción cutánea como reacción adversa más frecuente (0,7%), en los 14 días </w:t>
      </w:r>
      <w:proofErr w:type="spellStart"/>
      <w:r w:rsidRPr="00E43BF6">
        <w:rPr>
          <w:rFonts w:ascii="Calibri" w:eastAsia="Calibri" w:hAnsi="Calibri" w:cs="Times New Roman"/>
        </w:rPr>
        <w:t>postadministración</w:t>
      </w:r>
      <w:proofErr w:type="spellEnd"/>
      <w:r w:rsidRPr="00E43BF6">
        <w:rPr>
          <w:rFonts w:ascii="Calibri" w:eastAsia="Calibri" w:hAnsi="Calibri" w:cs="Times New Roman"/>
        </w:rPr>
        <w:t>. En caso de detectar alguna reacción adversa debería notificarse a través de la web:</w:t>
      </w:r>
    </w:p>
    <w:p w14:paraId="3CF73E36" w14:textId="77777777" w:rsidR="00E43BF6" w:rsidRDefault="00000000" w:rsidP="00E43BF6">
      <w:pPr>
        <w:spacing w:before="100" w:beforeAutospacing="1" w:after="100" w:afterAutospacing="1"/>
        <w:rPr>
          <w:rFonts w:ascii="Calibri" w:hAnsi="Calibri" w:cs="Calibri"/>
          <w:i/>
          <w:color w:val="000000"/>
        </w:rPr>
      </w:pPr>
      <w:hyperlink r:id="rId7" w:history="1">
        <w:r w:rsidR="00E43BF6" w:rsidRPr="00E43BF6">
          <w:rPr>
            <w:rFonts w:ascii="Calibri" w:eastAsia="Calibri" w:hAnsi="Calibri" w:cs="Times New Roman"/>
            <w:color w:val="0563C1"/>
            <w:u w:val="single"/>
          </w:rPr>
          <w:t>https://www.aemps.gob.es/medicamentos-de-uso-humano/farmacovigilancia-de-medicamentos-de-uso-humano/notificacion-de-sospechas-de-reacciones-adversas-a-medicamentos-ram-de-uso-humano/</w:t>
        </w:r>
      </w:hyperlink>
    </w:p>
    <w:p w14:paraId="741A6A1E" w14:textId="77777777" w:rsidR="00E43BF6" w:rsidRPr="00E43BF6" w:rsidRDefault="00E43BF6" w:rsidP="00E43BF6">
      <w:pPr>
        <w:spacing w:before="100" w:beforeAutospacing="1" w:after="100" w:afterAutospacing="1"/>
        <w:rPr>
          <w:rStyle w:val="Referenciaintensa"/>
        </w:rPr>
      </w:pPr>
      <w:r w:rsidRPr="00E43BF6">
        <w:rPr>
          <w:rStyle w:val="Referenciaintensa"/>
        </w:rPr>
        <w:t>BIBLIOGRAFÍA</w:t>
      </w:r>
    </w:p>
    <w:p w14:paraId="3465EC32" w14:textId="77777777" w:rsidR="00E43BF6" w:rsidRPr="00E43BF6" w:rsidRDefault="00E43BF6" w:rsidP="00E43BF6">
      <w:pPr>
        <w:numPr>
          <w:ilvl w:val="0"/>
          <w:numId w:val="3"/>
        </w:numPr>
        <w:jc w:val="both"/>
        <w:rPr>
          <w:rFonts w:ascii="Calibri Light" w:eastAsia="Calibri" w:hAnsi="Calibri Light" w:cs="Calibri Light"/>
        </w:rPr>
      </w:pPr>
      <w:r w:rsidRPr="00E43BF6">
        <w:rPr>
          <w:rFonts w:ascii="Calibri Light" w:eastAsia="Calibri" w:hAnsi="Calibri Light" w:cs="Calibri Light"/>
        </w:rPr>
        <w:t xml:space="preserve">Recomendaciones de utilización de </w:t>
      </w:r>
      <w:proofErr w:type="spellStart"/>
      <w:r w:rsidRPr="00E43BF6">
        <w:rPr>
          <w:rFonts w:ascii="Calibri Light" w:eastAsia="Calibri" w:hAnsi="Calibri Light" w:cs="Calibri Light"/>
        </w:rPr>
        <w:t>nirsevimab</w:t>
      </w:r>
      <w:proofErr w:type="spellEnd"/>
      <w:r w:rsidRPr="00E43BF6">
        <w:rPr>
          <w:rFonts w:ascii="Calibri Light" w:eastAsia="Calibri" w:hAnsi="Calibri Light" w:cs="Calibri Light"/>
        </w:rPr>
        <w:t xml:space="preserve"> frente a virus respiratorio sincitial para la temporada 2023-2024. Ponencia de Programa y Registro de Vacunaciones 2023</w:t>
      </w:r>
    </w:p>
    <w:p w14:paraId="45231833" w14:textId="77777777" w:rsidR="00E43BF6" w:rsidRPr="00E43BF6" w:rsidRDefault="00000000" w:rsidP="00E43BF6">
      <w:pPr>
        <w:ind w:left="360"/>
        <w:jc w:val="both"/>
        <w:rPr>
          <w:rFonts w:ascii="Calibri" w:eastAsia="Calibri" w:hAnsi="Calibri" w:cs="Times New Roman"/>
        </w:rPr>
      </w:pPr>
      <w:hyperlink r:id="rId8" w:history="1">
        <w:r w:rsidR="00E43BF6" w:rsidRPr="00E43BF6">
          <w:rPr>
            <w:rFonts w:ascii="Calibri" w:eastAsia="Calibri" w:hAnsi="Calibri" w:cs="Times New Roman"/>
            <w:color w:val="0563C1"/>
            <w:u w:val="single"/>
          </w:rPr>
          <w:t>https://www.sanidad.gob.es/areas/promocionPrevencion/vacunaciones/comoTrabajamos/docs/Nirsevimab.pdf</w:t>
        </w:r>
      </w:hyperlink>
    </w:p>
    <w:p w14:paraId="6E6434CA" w14:textId="77777777" w:rsidR="00E43BF6" w:rsidRPr="00E43BF6" w:rsidRDefault="00E43BF6" w:rsidP="00E43BF6">
      <w:pPr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Ficha técnica </w:t>
      </w:r>
      <w:proofErr w:type="spellStart"/>
      <w:r>
        <w:rPr>
          <w:rFonts w:ascii="Calibri" w:eastAsia="Calibri" w:hAnsi="Calibri" w:cs="Times New Roman"/>
        </w:rPr>
        <w:t>B</w:t>
      </w:r>
      <w:r w:rsidRPr="00E43BF6">
        <w:rPr>
          <w:rFonts w:ascii="Calibri" w:eastAsia="Calibri" w:hAnsi="Calibri" w:cs="Times New Roman"/>
        </w:rPr>
        <w:t>eyfortus</w:t>
      </w:r>
      <w:proofErr w:type="spellEnd"/>
      <w:r>
        <w:rPr>
          <w:rFonts w:ascii="Calibri" w:eastAsia="Calibri" w:hAnsi="Calibri" w:cs="Calibri"/>
        </w:rPr>
        <w:t>®</w:t>
      </w:r>
      <w:r w:rsidRPr="00E43BF6">
        <w:rPr>
          <w:rFonts w:ascii="Calibri" w:eastAsia="Calibri" w:hAnsi="Calibri" w:cs="Times New Roman"/>
        </w:rPr>
        <w:t>, publicada en EMA (Agencia Europea del medicamento)</w:t>
      </w:r>
    </w:p>
    <w:p w14:paraId="154A288A" w14:textId="77777777" w:rsidR="00E43BF6" w:rsidRPr="00E43BF6" w:rsidRDefault="00000000" w:rsidP="00E43BF6">
      <w:pPr>
        <w:ind w:left="360"/>
        <w:jc w:val="both"/>
        <w:rPr>
          <w:rFonts w:ascii="Calibri" w:eastAsia="Calibri" w:hAnsi="Calibri" w:cs="Times New Roman"/>
        </w:rPr>
      </w:pPr>
      <w:hyperlink r:id="rId9" w:history="1">
        <w:r w:rsidR="00E43BF6" w:rsidRPr="00E43BF6">
          <w:rPr>
            <w:rFonts w:ascii="Calibri" w:eastAsia="Calibri" w:hAnsi="Calibri" w:cs="Times New Roman"/>
            <w:color w:val="0563C1"/>
            <w:u w:val="single"/>
          </w:rPr>
          <w:t>https://www.ema.europa.eu/en/documents/product-information/beyfortus-epar-product-information_es.pdf</w:t>
        </w:r>
      </w:hyperlink>
    </w:p>
    <w:p w14:paraId="5901F30C" w14:textId="77777777" w:rsidR="00E43BF6" w:rsidRPr="00E43BF6" w:rsidRDefault="00E43BF6" w:rsidP="002E15FA">
      <w:pPr>
        <w:spacing w:before="100" w:beforeAutospacing="1" w:after="100" w:afterAutospacing="1"/>
        <w:rPr>
          <w:rFonts w:ascii="Calibri" w:hAnsi="Calibri" w:cs="Calibri"/>
          <w:color w:val="000000"/>
        </w:rPr>
      </w:pPr>
    </w:p>
    <w:p w14:paraId="3AD6070D" w14:textId="77777777" w:rsidR="00871CCC" w:rsidRPr="00E43BF6" w:rsidRDefault="00DD50DF" w:rsidP="00E43BF6">
      <w:pPr>
        <w:pStyle w:val="Textosinformato"/>
        <w:rPr>
          <w:rStyle w:val="Referenciaintensa"/>
          <w:b w:val="0"/>
        </w:rPr>
      </w:pPr>
      <w:r w:rsidRPr="00E43BF6">
        <w:rPr>
          <w:rStyle w:val="Referenciaintensa"/>
          <w:b w:val="0"/>
        </w:rPr>
        <w:t>Información</w:t>
      </w:r>
    </w:p>
    <w:p w14:paraId="3FD94295" w14:textId="77777777" w:rsidR="00871CCC" w:rsidRDefault="00871CCC" w:rsidP="002E15F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1.-Se ha elaborado una</w:t>
      </w:r>
      <w:hyperlink r:id="rId10" w:history="1">
        <w:r w:rsidRPr="00E53404">
          <w:rPr>
            <w:rStyle w:val="Hipervnculo"/>
            <w:rFonts w:ascii="Calibri" w:hAnsi="Calibri" w:cs="Calibri"/>
          </w:rPr>
          <w:t xml:space="preserve"> nota informativa para enviar a las familias de los niños menores de 2 años y con factores de riesgo</w:t>
        </w:r>
      </w:hyperlink>
      <w:r>
        <w:rPr>
          <w:rFonts w:ascii="Calibri" w:hAnsi="Calibri" w:cs="Calibri"/>
          <w:color w:val="000000"/>
        </w:rPr>
        <w:t>. Se enviará esta semana.</w:t>
      </w:r>
    </w:p>
    <w:p w14:paraId="0CDC2533" w14:textId="77777777" w:rsidR="00DD50DF" w:rsidRDefault="00871CCC" w:rsidP="002E15F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2.-</w:t>
      </w:r>
      <w:r w:rsidR="00DD50DF">
        <w:rPr>
          <w:rFonts w:ascii="Calibri" w:hAnsi="Calibri" w:cs="Calibri"/>
          <w:color w:val="000000"/>
        </w:rPr>
        <w:t xml:space="preserve">Se ha elaborado una </w:t>
      </w:r>
      <w:hyperlink r:id="rId11" w:history="1">
        <w:r w:rsidR="00DD50DF" w:rsidRPr="00E43BF6">
          <w:rPr>
            <w:rStyle w:val="Hipervnculo"/>
            <w:rFonts w:ascii="Calibri" w:hAnsi="Calibri" w:cs="Calibri"/>
          </w:rPr>
          <w:t xml:space="preserve">nota informativa para los profesionales de los Centro de Salud y </w:t>
        </w:r>
        <w:proofErr w:type="spellStart"/>
        <w:r w:rsidR="00DD50DF" w:rsidRPr="00E43BF6">
          <w:rPr>
            <w:rStyle w:val="Hipervnculo"/>
            <w:rFonts w:ascii="Calibri" w:hAnsi="Calibri" w:cs="Calibri"/>
          </w:rPr>
          <w:t>Cassyr</w:t>
        </w:r>
        <w:proofErr w:type="spellEnd"/>
      </w:hyperlink>
    </w:p>
    <w:p w14:paraId="748BCB8C" w14:textId="77777777" w:rsidR="00DD50DF" w:rsidRDefault="00DD50DF" w:rsidP="002E15F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3.-</w:t>
      </w:r>
      <w:r w:rsidR="00871CCC">
        <w:rPr>
          <w:rFonts w:ascii="Calibri" w:hAnsi="Calibri" w:cs="Calibri"/>
          <w:color w:val="000000"/>
        </w:rPr>
        <w:t xml:space="preserve">Se enviará </w:t>
      </w:r>
      <w:r w:rsidR="00E43BF6">
        <w:rPr>
          <w:rFonts w:ascii="Calibri" w:hAnsi="Calibri" w:cs="Calibri"/>
          <w:color w:val="000000"/>
        </w:rPr>
        <w:t xml:space="preserve">por correo </w:t>
      </w:r>
      <w:hyperlink r:id="rId12" w:history="1">
        <w:r w:rsidR="00E53404" w:rsidRPr="00E53404">
          <w:rPr>
            <w:rStyle w:val="Hipervnculo"/>
            <w:rFonts w:ascii="Calibri" w:hAnsi="Calibri" w:cs="Calibri"/>
          </w:rPr>
          <w:t xml:space="preserve">nota informativa </w:t>
        </w:r>
        <w:r w:rsidR="00871CCC" w:rsidRPr="00E53404">
          <w:rPr>
            <w:rStyle w:val="Hipervnculo"/>
            <w:rFonts w:ascii="Calibri" w:hAnsi="Calibri" w:cs="Calibri"/>
          </w:rPr>
          <w:t>a las gestantes con fecha prevista de parto en octubre.</w:t>
        </w:r>
      </w:hyperlink>
      <w:r w:rsidR="00871CCC">
        <w:rPr>
          <w:rFonts w:ascii="Calibri" w:hAnsi="Calibri" w:cs="Calibri"/>
          <w:color w:val="000000"/>
        </w:rPr>
        <w:t xml:space="preserve"> </w:t>
      </w:r>
    </w:p>
    <w:p w14:paraId="320CB8A4" w14:textId="77777777" w:rsidR="00871CCC" w:rsidRDefault="00DD50DF" w:rsidP="002E15F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Desde el ISPLN está prevista la elaboración de material divulgativo que distribuirá </w:t>
      </w:r>
      <w:r w:rsidR="00871CCC">
        <w:rPr>
          <w:rFonts w:ascii="Calibri" w:hAnsi="Calibri" w:cs="Calibri"/>
          <w:color w:val="000000"/>
        </w:rPr>
        <w:t xml:space="preserve">en las consultas de los </w:t>
      </w:r>
      <w:proofErr w:type="spellStart"/>
      <w:r w:rsidR="00871CCC">
        <w:rPr>
          <w:rFonts w:ascii="Calibri" w:hAnsi="Calibri" w:cs="Calibri"/>
          <w:color w:val="000000"/>
        </w:rPr>
        <w:t>Cassyr</w:t>
      </w:r>
      <w:proofErr w:type="spellEnd"/>
      <w:r w:rsidR="00871CCC">
        <w:rPr>
          <w:rFonts w:ascii="Calibri" w:hAnsi="Calibri" w:cs="Calibri"/>
          <w:color w:val="000000"/>
        </w:rPr>
        <w:t xml:space="preserve"> y en la de alto riesgo obstétrico del HUN.</w:t>
      </w:r>
    </w:p>
    <w:p w14:paraId="2D142BF1" w14:textId="77777777" w:rsidR="00871CCC" w:rsidRDefault="00871CCC" w:rsidP="002E15FA">
      <w:pPr>
        <w:spacing w:before="100" w:beforeAutospacing="1" w:after="100" w:afterAutospacing="1"/>
        <w:rPr>
          <w:rFonts w:ascii="Calibri" w:hAnsi="Calibri" w:cs="Calibri"/>
          <w:color w:val="000000"/>
        </w:rPr>
      </w:pPr>
    </w:p>
    <w:p w14:paraId="79E69783" w14:textId="77777777" w:rsidR="002E15FA" w:rsidRDefault="002E15FA" w:rsidP="002E15FA">
      <w:pPr>
        <w:tabs>
          <w:tab w:val="left" w:pos="5772"/>
        </w:tabs>
        <w:spacing w:before="100" w:beforeAutospacing="1" w:after="100" w:afterAutospacing="1"/>
        <w:rPr>
          <w:rFonts w:ascii="Calibri" w:hAnsi="Calibri" w:cs="Calibri"/>
          <w:color w:val="000000"/>
        </w:rPr>
      </w:pPr>
    </w:p>
    <w:p w14:paraId="1E4F6A10" w14:textId="77777777" w:rsidR="002E15FA" w:rsidRDefault="002E15FA" w:rsidP="002E15FA">
      <w:pPr>
        <w:spacing w:before="100" w:beforeAutospacing="1" w:after="100" w:afterAutospacing="1"/>
        <w:rPr>
          <w:rFonts w:ascii="Calibri" w:hAnsi="Calibri" w:cs="Calibri"/>
          <w:color w:val="000000"/>
        </w:rPr>
      </w:pPr>
    </w:p>
    <w:p w14:paraId="67A4A9D2" w14:textId="77777777" w:rsidR="002E15FA" w:rsidRDefault="002E15FA" w:rsidP="00B157C7">
      <w:pPr>
        <w:pStyle w:val="Textosinformato"/>
      </w:pPr>
    </w:p>
    <w:p w14:paraId="3313DE77" w14:textId="77777777" w:rsidR="00B157C7" w:rsidRPr="00B157C7" w:rsidRDefault="00B157C7">
      <w:pPr>
        <w:rPr>
          <w:lang w:val="es-ES_tradnl"/>
        </w:rPr>
      </w:pPr>
    </w:p>
    <w:sectPr w:rsidR="00B157C7" w:rsidRPr="00B157C7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3538B" w14:textId="77777777" w:rsidR="006E172F" w:rsidRDefault="006E172F" w:rsidP="00DD50DF">
      <w:pPr>
        <w:spacing w:after="0" w:line="240" w:lineRule="auto"/>
      </w:pPr>
      <w:r>
        <w:separator/>
      </w:r>
    </w:p>
  </w:endnote>
  <w:endnote w:type="continuationSeparator" w:id="0">
    <w:p w14:paraId="0FB59A93" w14:textId="77777777" w:rsidR="006E172F" w:rsidRDefault="006E172F" w:rsidP="00DD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BC79" w14:textId="77777777" w:rsidR="006E172F" w:rsidRDefault="006E172F" w:rsidP="00DD50DF">
      <w:pPr>
        <w:spacing w:after="0" w:line="240" w:lineRule="auto"/>
      </w:pPr>
      <w:r>
        <w:separator/>
      </w:r>
    </w:p>
  </w:footnote>
  <w:footnote w:type="continuationSeparator" w:id="0">
    <w:p w14:paraId="68F64CC8" w14:textId="77777777" w:rsidR="006E172F" w:rsidRDefault="006E172F" w:rsidP="00DD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A787" w14:textId="77777777" w:rsidR="00DD50DF" w:rsidRDefault="00DD50DF" w:rsidP="00DD50DF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4390E328" wp14:editId="28673ED0">
          <wp:extent cx="1489521" cy="336999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UN_NOU_2tintas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442" cy="354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160AE"/>
    <w:multiLevelType w:val="hybridMultilevel"/>
    <w:tmpl w:val="06C886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1763B"/>
    <w:multiLevelType w:val="hybridMultilevel"/>
    <w:tmpl w:val="71A072B2"/>
    <w:lvl w:ilvl="0" w:tplc="8752F5C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66399"/>
    <w:multiLevelType w:val="multilevel"/>
    <w:tmpl w:val="47A6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4314636">
    <w:abstractNumId w:val="2"/>
  </w:num>
  <w:num w:numId="2" w16cid:durableId="1683780581">
    <w:abstractNumId w:val="1"/>
  </w:num>
  <w:num w:numId="3" w16cid:durableId="44153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C7"/>
    <w:rsid w:val="00187613"/>
    <w:rsid w:val="001A1618"/>
    <w:rsid w:val="002E15FA"/>
    <w:rsid w:val="003D6F97"/>
    <w:rsid w:val="0047293C"/>
    <w:rsid w:val="00613B05"/>
    <w:rsid w:val="006E172F"/>
    <w:rsid w:val="007D77D7"/>
    <w:rsid w:val="00835711"/>
    <w:rsid w:val="00871CCC"/>
    <w:rsid w:val="00996337"/>
    <w:rsid w:val="00A5149F"/>
    <w:rsid w:val="00A70113"/>
    <w:rsid w:val="00AD4085"/>
    <w:rsid w:val="00B157C7"/>
    <w:rsid w:val="00DD095F"/>
    <w:rsid w:val="00DD50DF"/>
    <w:rsid w:val="00E43BF6"/>
    <w:rsid w:val="00E53404"/>
    <w:rsid w:val="00EF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297A1"/>
  <w15:chartTrackingRefBased/>
  <w15:docId w15:val="{BEF32AB4-CD99-457F-B658-DE2222D4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D5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B157C7"/>
    <w:pPr>
      <w:spacing w:after="0" w:line="240" w:lineRule="auto"/>
    </w:pPr>
    <w:rPr>
      <w:rFonts w:ascii="Calibri" w:hAnsi="Calibri" w:cs="Calibr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157C7"/>
    <w:rPr>
      <w:rFonts w:ascii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DD50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50DF"/>
  </w:style>
  <w:style w:type="paragraph" w:styleId="Piedepgina">
    <w:name w:val="footer"/>
    <w:basedOn w:val="Normal"/>
    <w:link w:val="PiedepginaCar"/>
    <w:uiPriority w:val="99"/>
    <w:unhideWhenUsed/>
    <w:rsid w:val="00DD50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0DF"/>
  </w:style>
  <w:style w:type="character" w:customStyle="1" w:styleId="Ttulo1Car">
    <w:name w:val="Título 1 Car"/>
    <w:basedOn w:val="Fuentedeprrafopredeter"/>
    <w:link w:val="Ttulo1"/>
    <w:uiPriority w:val="9"/>
    <w:rsid w:val="00DD50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erenciaintensa">
    <w:name w:val="Intense Reference"/>
    <w:basedOn w:val="Fuentedeprrafopredeter"/>
    <w:uiPriority w:val="32"/>
    <w:qFormat/>
    <w:rsid w:val="00DD50DF"/>
    <w:rPr>
      <w:b/>
      <w:bCs/>
      <w:smallCaps/>
      <w:color w:val="5B9BD5" w:themeColor="accent1"/>
      <w:spacing w:val="5"/>
    </w:rPr>
  </w:style>
  <w:style w:type="character" w:styleId="Hipervnculo">
    <w:name w:val="Hyperlink"/>
    <w:basedOn w:val="Fuentedeprrafopredeter"/>
    <w:uiPriority w:val="99"/>
    <w:unhideWhenUsed/>
    <w:rsid w:val="00DD50D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3BF6"/>
    <w:rPr>
      <w:color w:val="954F72" w:themeColor="followedHyperlink"/>
      <w:u w:val="single"/>
    </w:rPr>
  </w:style>
  <w:style w:type="character" w:styleId="Textoennegrita">
    <w:name w:val="Strong"/>
    <w:uiPriority w:val="22"/>
    <w:qFormat/>
    <w:rsid w:val="00E43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idad.gob.es/areas/promocionPrevencion/vacunaciones/comoTrabajamos/docs/Nirsevimab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emps.gob.es/medicamentos-de-uso-humano/farmacovigilancia-de-medicamentos-de-uso-humano/notificacion-de-sospechas-de-reacciones-adversas-a-medicamentos-ram-de-uso-humano/" TargetMode="External"/><Relationship Id="rId12" Type="http://schemas.openxmlformats.org/officeDocument/2006/relationships/hyperlink" Target="file:///\\Centcs01srv03\n706570\Documentos%20Y\Documentos\Pediatr&#237;a\Vacunaci&#243;n%20VRS%2023%2024\Informaci&#243;n%20para%20gestantes%20Campa&#241;a%20VRS%2023%202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Y:\Documentos%20Y\Documentos\Pediatr&#237;a\Vacunaci&#243;n%20VRS%2023%2024\Informaci&#243;n%20para%20profesionales%20Campa&#241;a%20VRS%2023-24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\\Centcs01srv03\n706570\Documentos%20Y\Documentos\Pediatr&#237;a\Vacunaci&#243;n%20VRS%2023%2024\Informaci&#243;n%20a%20familias%20de%20ni&#241;os%20de%20riesg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a.europa.eu/en/documents/product-information/beyfortus-epar-product-information_e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N706570</dc:creator>
  <cp:keywords/>
  <dc:description/>
  <cp:lastModifiedBy>maria rosa albañil ballesteros</cp:lastModifiedBy>
  <cp:revision>2</cp:revision>
  <dcterms:created xsi:type="dcterms:W3CDTF">2023-10-03T21:32:00Z</dcterms:created>
  <dcterms:modified xsi:type="dcterms:W3CDTF">2023-10-03T21:32:00Z</dcterms:modified>
</cp:coreProperties>
</file>